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B9" w:rsidRPr="008314D6" w:rsidRDefault="000A5CB9" w:rsidP="000A5CB9">
      <w:pPr>
        <w:spacing w:line="360" w:lineRule="auto"/>
        <w:rPr>
          <w:rFonts w:ascii="宋体" w:hAnsi="宋体" w:hint="eastAsia"/>
          <w:b/>
          <w:sz w:val="24"/>
          <w:szCs w:val="24"/>
        </w:rPr>
      </w:pPr>
    </w:p>
    <w:p w:rsidR="000A5CB9" w:rsidRPr="00AB2124" w:rsidRDefault="000A5CB9" w:rsidP="000A5CB9">
      <w:pPr>
        <w:spacing w:line="360" w:lineRule="auto"/>
        <w:ind w:leftChars="200" w:left="1579" w:hangingChars="481" w:hanging="1159"/>
        <w:rPr>
          <w:rFonts w:ascii="宋体" w:hAnsi="宋体"/>
          <w:b/>
          <w:sz w:val="24"/>
          <w:szCs w:val="24"/>
        </w:rPr>
      </w:pPr>
      <w:r w:rsidRPr="00AB2124">
        <w:rPr>
          <w:rFonts w:ascii="宋体" w:hAnsi="宋体" w:hint="eastAsia"/>
          <w:b/>
          <w:sz w:val="24"/>
          <w:szCs w:val="24"/>
        </w:rPr>
        <w:t>尹尚斌  律师</w: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/>
          <w:sz w:val="24"/>
          <w:szCs w:val="24"/>
        </w:rPr>
      </w:pPr>
      <w:r w:rsidRPr="00AB2124">
        <w:rPr>
          <w:rFonts w:ascii="宋体" w:hAnsi="宋体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/>
          <w:sz w:val="24"/>
          <w:szCs w:val="24"/>
        </w:rPr>
        <w:t xml:space="preserve">教育背景：　　</w:t>
      </w:r>
      <w:r w:rsidRPr="00AB2124">
        <w:rPr>
          <w:rFonts w:ascii="宋体" w:hAnsi="宋体" w:hint="eastAsia"/>
          <w:sz w:val="24"/>
          <w:szCs w:val="24"/>
        </w:rPr>
        <w:t xml:space="preserve">四川大学法学学士   </w: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/>
          <w:sz w:val="24"/>
          <w:szCs w:val="24"/>
        </w:rPr>
        <w:t xml:space="preserve">工作经历：　　</w:t>
      </w:r>
      <w:r w:rsidRPr="00AB2124">
        <w:rPr>
          <w:rFonts w:ascii="宋体" w:hAnsi="宋体" w:hint="eastAsia"/>
          <w:sz w:val="24"/>
          <w:szCs w:val="24"/>
        </w:rPr>
        <w:t>2009.1～2013.4 广州立白企业集团有限公司</w: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 w:hint="eastAsia"/>
          <w:sz w:val="24"/>
          <w:szCs w:val="24"/>
        </w:rPr>
        <w:t xml:space="preserve">              2013.4～2014.11 广东卓信律师事务所</w:t>
      </w:r>
    </w:p>
    <w:p w:rsidR="000A5CB9" w:rsidRPr="00AB2124" w:rsidRDefault="000A5CB9" w:rsidP="000A5CB9">
      <w:pPr>
        <w:spacing w:line="360" w:lineRule="auto"/>
        <w:ind w:leftChars="781" w:left="1640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 w:hint="eastAsia"/>
          <w:sz w:val="24"/>
          <w:szCs w:val="24"/>
        </w:rPr>
        <w:t>2014.12～ 至今  广东安华理达律师事务所</w: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 w:hint="eastAsia"/>
          <w:sz w:val="24"/>
          <w:szCs w:val="24"/>
        </w:rPr>
        <w:t>执业领域</w:t>
      </w:r>
      <w:r w:rsidRPr="00AB2124">
        <w:rPr>
          <w:rFonts w:ascii="宋体" w:hAnsi="宋体"/>
          <w:sz w:val="24"/>
          <w:szCs w:val="24"/>
        </w:rPr>
        <w:t xml:space="preserve">：　</w:t>
      </w:r>
      <w:r w:rsidRPr="00AB2124">
        <w:rPr>
          <w:rFonts w:ascii="宋体" w:hAnsi="宋体" w:hint="eastAsia"/>
          <w:sz w:val="24"/>
          <w:szCs w:val="24"/>
        </w:rPr>
        <w:t xml:space="preserve"> </w:t>
      </w:r>
      <w:r w:rsidRPr="00AB2124">
        <w:rPr>
          <w:rFonts w:ascii="宋体" w:hAnsi="宋体"/>
          <w:sz w:val="24"/>
          <w:szCs w:val="24"/>
        </w:rPr>
        <w:t>公司法律业务</w:t>
      </w:r>
      <w:r>
        <w:rPr>
          <w:rFonts w:ascii="宋体" w:hAnsi="宋体" w:hint="eastAsia"/>
          <w:sz w:val="24"/>
          <w:szCs w:val="24"/>
        </w:rPr>
        <w:t>、合同法、公司法、</w:t>
      </w:r>
      <w:r w:rsidRPr="00AB2124">
        <w:rPr>
          <w:rFonts w:ascii="宋体" w:hAnsi="宋体"/>
          <w:sz w:val="24"/>
          <w:szCs w:val="24"/>
        </w:rPr>
        <w:t>投资</w:t>
      </w:r>
      <w:r w:rsidRPr="00AB2124">
        <w:rPr>
          <w:rFonts w:ascii="宋体" w:hAnsi="宋体" w:hint="eastAsia"/>
          <w:sz w:val="24"/>
          <w:szCs w:val="24"/>
        </w:rPr>
        <w:t>并购</w:t>
      </w:r>
      <w:r w:rsidRPr="00AB2124">
        <w:rPr>
          <w:rFonts w:ascii="宋体" w:hAnsi="宋体"/>
          <w:sz w:val="24"/>
          <w:szCs w:val="24"/>
        </w:rPr>
        <w:t>、</w:t>
      </w:r>
      <w:r w:rsidRPr="00AB2124">
        <w:rPr>
          <w:rFonts w:ascii="宋体" w:hAnsi="宋体" w:hint="eastAsia"/>
          <w:sz w:val="24"/>
          <w:szCs w:val="24"/>
        </w:rPr>
        <w:t>企业国有产权交易、民商事诉讼</w:t>
      </w:r>
      <w:r w:rsidRPr="00AB2124">
        <w:rPr>
          <w:rFonts w:ascii="宋体" w:hAnsi="宋体"/>
          <w:sz w:val="24"/>
          <w:szCs w:val="24"/>
        </w:rPr>
        <w:t>等法律领域</w:t>
      </w:r>
    </w:p>
    <w:p w:rsidR="000A5CB9" w:rsidRPr="00AB2124" w:rsidRDefault="000A5CB9" w:rsidP="000A5CB9">
      <w:pPr>
        <w:spacing w:line="360" w:lineRule="auto"/>
        <w:ind w:left="1644" w:hangingChars="685" w:hanging="1644"/>
        <w:rPr>
          <w:rFonts w:ascii="宋体" w:hAnsi="宋体" w:hint="eastAsia"/>
          <w:sz w:val="24"/>
          <w:szCs w:val="24"/>
        </w:rPr>
      </w:pPr>
      <w:r w:rsidRPr="00AB2124">
        <w:rPr>
          <w:rFonts w:ascii="宋体" w:hAnsi="宋体"/>
          <w:sz w:val="24"/>
          <w:szCs w:val="24"/>
        </w:rPr>
        <w:t xml:space="preserve">执业经验：　</w:t>
      </w:r>
      <w:r w:rsidRPr="00AB2124">
        <w:rPr>
          <w:rFonts w:ascii="宋体" w:hAnsi="宋体" w:hint="eastAsia"/>
          <w:sz w:val="24"/>
          <w:szCs w:val="24"/>
        </w:rPr>
        <w:t xml:space="preserve"> 有</w:t>
      </w:r>
      <w:r>
        <w:rPr>
          <w:rFonts w:ascii="宋体" w:hAnsi="宋体" w:hint="eastAsia"/>
          <w:sz w:val="24"/>
          <w:szCs w:val="24"/>
        </w:rPr>
        <w:t>多年的企业法务工作经验，熟悉企业的内部运作及法律事务</w:t>
      </w:r>
      <w:r w:rsidRPr="00AB2124">
        <w:rPr>
          <w:rFonts w:ascii="宋体" w:hAnsi="宋体" w:hint="eastAsia"/>
          <w:sz w:val="24"/>
          <w:szCs w:val="24"/>
        </w:rPr>
        <w:t>服务内容主要包括企业日常法律顾问服务、法律风险防范与控制、规则制度体系设计、债权债务处理、合同谈判与评审、劳动关系管理、国有产权交易、资产并购与重组、尽职调查、诉讼与仲裁等。现在服务的代表性客户有广东省贵金属交易中心、广州青年报社、广州南联实业有限公司、珠江船务企业集团、广东南方文化产权交易所等。</w:t>
      </w:r>
    </w:p>
    <w:p w:rsidR="004B740C" w:rsidRPr="000A5CB9" w:rsidRDefault="004B740C"/>
    <w:sectPr w:rsidR="004B740C" w:rsidRPr="000A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0C" w:rsidRDefault="004B740C" w:rsidP="000A5CB9">
      <w:r>
        <w:separator/>
      </w:r>
    </w:p>
  </w:endnote>
  <w:endnote w:type="continuationSeparator" w:id="1">
    <w:p w:rsidR="004B740C" w:rsidRDefault="004B740C" w:rsidP="000A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0C" w:rsidRDefault="004B740C" w:rsidP="000A5CB9">
      <w:r>
        <w:separator/>
      </w:r>
    </w:p>
  </w:footnote>
  <w:footnote w:type="continuationSeparator" w:id="1">
    <w:p w:rsidR="004B740C" w:rsidRDefault="004B740C" w:rsidP="000A5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B9"/>
    <w:rsid w:val="000A5CB9"/>
    <w:rsid w:val="004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2</cp:revision>
  <dcterms:created xsi:type="dcterms:W3CDTF">2015-12-31T09:24:00Z</dcterms:created>
  <dcterms:modified xsi:type="dcterms:W3CDTF">2015-12-31T09:25:00Z</dcterms:modified>
</cp:coreProperties>
</file>